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rPr>
          <w:b/>
          <w:bCs/>
          <w:color w:val="666666"/>
          <w:sz w:val="16"/>
          <w:szCs w:val="16"/>
        </w:rPr>
      </w:pPr>
      <w:r>
        <w:rPr>
          <w:rFonts w:ascii="Arial" w:cs="Arial" w:eastAsia="Arial" w:hAnsi="Arial"/>
          <w:b/>
          <w:bCs/>
          <w:color w:val="666666"/>
          <w:sz w:val="16"/>
          <w:szCs w:val="16"/>
        </w:rPr>
        <w:t xml:space="preserve">PETIMUNE · МАТЕРИАЛ ЗА ВЕТЕРИНАРНИ СПЕЦИАЛИСТИ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Клиничен профил и механизъм на действие</w:t>
      </w:r>
    </w:p>
    <w:p>
      <w:pPr>
        <w:pBdr>
          <w:top w:val="single" w:color="E06D53" w:sz="2"/>
          <w:bottom w:val="single" w:color="E06D53" w:sz="2"/>
          <w:left w:val="single" w:color="E06D53" w:sz="2"/>
          <w:right w:val="single" w:color="E06D53" w:sz="2"/>
        </w:pBdr>
        <w:shd w:fill="E06D53" w:val="clear"/>
        <w:spacing w:after="240" w:before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Дозировка: 1 саше на 5 кг телесно тегло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Производител: Daiwa Pharmaceutical Co., Ltd., Токио, Япония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1. Състав и механизъм на действие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BioBran / MGN-3 е арабиноксиланов комплекс от оризови трици, ензимно модифициран с екстракт от гъбата Шийтаке. Редуцираното молекулно тегло (&lt;30 000 Da) позволява резорбция през Пайеровите плаки в тънките черва.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2. Имунологичен ефект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Активиране на NK-клетки (естествени клетки-убийци)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Модулиране на цитокиновия профил (IFN-γ, TNF-α, IL-12)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Липса на рецепторно привикване при продължителен прием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3. Клинични показания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Онкологични заболявания — паралелно с химиотерапия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Хронични котешки вируси — FIV, FeLV, FCV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Остри инфекции и парвовироза (след стабилизиране на острата фаза)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Гериатрични пациенти и възстановяване след операция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4. Дозиране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Базова схема: 1 саше (1 g) на всеки 5 кг телесно тегло дневно, разтворено в храната. Схемата е еднаква за кучета и котки.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До 5 кг — 1 саше дневно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5 – 10 кг — 2 сашета дневно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10 – 15 кг — 3 сашета дневно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Над 15 кг — 1 саше на всеки 5 кг дневно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Продължителност: 2–4 седмици при остри състояния; месеци при хронични.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5. Профил на безопасност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В проведените изследвания не е установена летална доза и не са докладвани значими нежелани реакции. Продуктът е допълваща храна (нутрицевтик) и не замества назначената терапия.</w:t>
      </w:r>
    </w:p>
    <w:p>
      <w:pPr>
        <w:spacing w:after="120"/>
        <w:rPr>
          <w:color w:val="666666"/>
          <w:sz w:val="18"/>
          <w:szCs w:val="18"/>
        </w:rPr>
      </w:pPr>
      <w:r>
        <w:rPr>
          <w:rFonts w:ascii="Arial" w:cs="Arial" w:eastAsia="Arial" w:hAnsi="Arial"/>
          <w:color w:val="666666"/>
          <w:sz w:val="18"/>
          <w:szCs w:val="18"/>
        </w:rPr>
        <w:t xml:space="preserve">office@petimune.eu · petimune.eu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1A1A1A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1A1A1A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2026-08-07T10:29:45.184Z</dcterms:created>
  <dcterms:modified xsi:type="dcterms:W3CDTF">2026-08-07T10:29:45.184Z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